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0"/>
        <w:gridCol w:w="1600"/>
        <w:gridCol w:w="1060"/>
        <w:gridCol w:w="1780"/>
        <w:gridCol w:w="1260"/>
        <w:gridCol w:w="1760"/>
        <w:gridCol w:w="2760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9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 xml:space="preserve">附件1：　　　　　　　　 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  <w:lang w:eastAsia="zh-CN"/>
              </w:rPr>
              <w:t>莱芜区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招聘安置2018年度省退役优秀运动员岗位汇总表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主管部门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单位类别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其他条件要求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莱芜区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教育和体育局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莱芜职业中等专业学校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公益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教练员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（专技）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被省市体育和人社部门确认为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莱芜区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输送的2018年度省退役优秀运动员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954A3"/>
    <w:rsid w:val="06B954A3"/>
    <w:rsid w:val="4FF95B3F"/>
    <w:rsid w:val="67AE3C03"/>
    <w:rsid w:val="7D6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2019-07-03T03:20:00Z</dcterms:created>
  <dc:creator>Administrator</dc:creator>
  <cp:lastModifiedBy>张翠</cp:lastModifiedBy>
  <dcterms:modified xsi:type="dcterms:W3CDTF">2019-11-29T09:15:36Z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